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E4" w:rsidRPr="0027251C" w:rsidRDefault="002802E4" w:rsidP="0027251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27251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Новые правила расчета нормативов по электроэнергии на содержание общего имущества</w:t>
      </w:r>
    </w:p>
    <w:p w:rsidR="002802E4" w:rsidRDefault="002802E4" w:rsidP="002802E4">
      <w:pPr>
        <w:pStyle w:val="a3"/>
        <w:shd w:val="clear" w:color="auto" w:fill="FFFFFF"/>
        <w:spacing w:line="300" w:lineRule="atLeast"/>
        <w:ind w:firstLine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 xml:space="preserve">Утвержденные департаментом нормативы по электроэнергии </w:t>
      </w:r>
      <w:r w:rsidR="000A3983">
        <w:rPr>
          <w:rFonts w:ascii="Verdana" w:hAnsi="Verdana"/>
          <w:sz w:val="36"/>
          <w:szCs w:val="36"/>
        </w:rPr>
        <w:t>дифференцируются</w:t>
      </w:r>
      <w:r>
        <w:rPr>
          <w:rFonts w:ascii="Verdana" w:hAnsi="Verdana"/>
          <w:sz w:val="36"/>
          <w:szCs w:val="36"/>
        </w:rPr>
        <w:t xml:space="preserve"> в зависимости от того, какое осветительное и инженерное оборудование установлено в многоквартирном доме (лампы, лифты, циркуляционные насосы, домофоны и т.д.).</w:t>
      </w:r>
    </w:p>
    <w:p w:rsidR="002802E4" w:rsidRDefault="002802E4" w:rsidP="002802E4">
      <w:pPr>
        <w:pStyle w:val="a3"/>
        <w:shd w:val="clear" w:color="auto" w:fill="FFFFFF"/>
        <w:spacing w:line="300" w:lineRule="atLeast"/>
        <w:ind w:firstLine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>Начисления по электроэнергии на содержание общего имущества определяются путем суммирования нормативов, утвержденных для различных типов оборудования, установленного в многоквартирных домах. Подробная информация содержится в </w:t>
      </w:r>
      <w:hyperlink r:id="rId4" w:tgtFrame="_blank" w:history="1">
        <w:r w:rsidRPr="000A3983">
          <w:rPr>
            <w:rStyle w:val="a4"/>
            <w:rFonts w:ascii="Georgia" w:hAnsi="Georgia"/>
            <w:color w:val="auto"/>
            <w:sz w:val="36"/>
            <w:szCs w:val="36"/>
          </w:rPr>
          <w:t>приказе департамента по тарифам Новосибирской области № 216-ЭЭ</w:t>
        </w:r>
      </w:hyperlink>
      <w:r w:rsidRPr="000A3983">
        <w:rPr>
          <w:rFonts w:ascii="Verdana" w:hAnsi="Verdana"/>
          <w:sz w:val="36"/>
          <w:szCs w:val="36"/>
        </w:rPr>
        <w:t>.</w:t>
      </w:r>
    </w:p>
    <w:p w:rsidR="00AC740B" w:rsidRDefault="00AC740B"/>
    <w:sectPr w:rsidR="00AC740B" w:rsidSect="0027251C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E4"/>
    <w:rsid w:val="000A3983"/>
    <w:rsid w:val="0027251C"/>
    <w:rsid w:val="002802E4"/>
    <w:rsid w:val="003312E7"/>
    <w:rsid w:val="00AC740B"/>
    <w:rsid w:val="00EE406C"/>
    <w:rsid w:val="00FA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0B"/>
  </w:style>
  <w:style w:type="paragraph" w:styleId="3">
    <w:name w:val="heading 3"/>
    <w:basedOn w:val="a"/>
    <w:link w:val="30"/>
    <w:uiPriority w:val="9"/>
    <w:qFormat/>
    <w:rsid w:val="00280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02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802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nsc.ru/law/prikaz_no_216-ee_ot_22.05.20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2017-12-27T10:31:00Z</dcterms:created>
  <dcterms:modified xsi:type="dcterms:W3CDTF">2019-03-28T03:30:00Z</dcterms:modified>
</cp:coreProperties>
</file>